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bei Direkterhebung (Art. 13 DS-GVO)</w:t>
      </w:r>
    </w:p>
    <w:p>
      <w:pPr/>
      <w:r>
        <w:rPr>
          <w:sz w:val="28"/>
          <w:szCs w:val="28"/>
          <w:b w:val="1"/>
          <w:bCs w:val="1"/>
        </w:rPr>
        <w:t xml:space="preserve">Stammdatenverwaltung (Lieferanten, Dienstleister, Partner)</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Bei den Stammdaten von Lieferanten, Dienstleistern und Partnern handelt es sich in der Regel um eine umfangreiche Sammlung personenbezogener Daten. Stammdaten umfassen in der Regel statische Daten (.B. Kontaktdaten), jedoch keine dynamischen Daten (z.B. Auftragshistorie). Stammdaten sind zum Zwecke der Vertragserfüllung erforderlich.</w:t>
      </w:r>
    </w:p>
    <w:p/>
    <w:p>
      <w:pPr/>
      <w:r>
        <w:rPr>
          <w:sz w:val="24"/>
          <w:szCs w:val="24"/>
          <w:b w:val="1"/>
          <w:bCs w:val="1"/>
        </w:rPr>
        <w:t xml:space="preserve">Rechtsgrundlage der Verarbeitungstätigkeit:</w:t>
      </w:r>
    </w:p>
    <w:p>
      <w:pPr>
        <w:spacing w:after="30"/>
      </w:pPr>
      <w:r>
        <w:rPr>
          <w:sz w:val="22"/>
          <w:szCs w:val="22"/>
          <w:b w:val="0"/>
          <w:bCs w:val="0"/>
        </w:rPr>
        <w:t xml:space="preserve">
          Die Verarbeitung ist für die Erfüllung eines Vertrags oder einer vorvertraglichen Maßnahme gem. Art. 6 Abs. 1 lit. b DS-GVO erforderlich.
          <w:br/>
        </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(Einkaufsverantwortliche, Finanzbuchhaltung))</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3 Jahre (allg. Verjährung) (Allgemeine Verjährungsfrist gemäß §195 BGB)</w:t>
      </w:r>
    </w:p>
    <w:p>
      <w:pPr>
        <w:spacing w:after="30"/>
      </w:pPr>
      <w:r>
        <w:rPr>
          <w:sz w:val="22"/>
          <w:szCs w:val="22"/>
          <w:b w:val="0"/>
          <w:bCs w:val="0"/>
        </w:rPr>
        <w:t xml:space="preserve">Löschung unregelmäßig, die Datensätze werden momentan unter Umständen &gt; 10 Jahre aufbewahrt, um Historien oder künftige Anfragen, Bestellungen, Reklamationen bearbeiten zu können</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bei Direkterhebung (Art. 13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